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9" w:rsidRDefault="00FC4FA9" w:rsidP="00FC4FA9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A9" w:rsidRDefault="00FC4FA9" w:rsidP="00FC4FA9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г</w:t>
      </w:r>
      <w:proofErr w:type="gramStart"/>
      <w:r>
        <w:rPr>
          <w:rFonts w:ascii="Arial" w:hAnsi="Arial"/>
          <w:sz w:val="20"/>
          <w:szCs w:val="20"/>
        </w:rPr>
        <w:t>.В</w:t>
      </w:r>
      <w:proofErr w:type="gramEnd"/>
      <w:r>
        <w:rPr>
          <w:rFonts w:ascii="Arial" w:hAnsi="Arial"/>
          <w:sz w:val="20"/>
          <w:szCs w:val="20"/>
        </w:rPr>
        <w:t>итебск</w:t>
      </w:r>
      <w:proofErr w:type="spellEnd"/>
      <w:r>
        <w:rPr>
          <w:rFonts w:ascii="Arial" w:hAnsi="Arial"/>
          <w:sz w:val="20"/>
          <w:szCs w:val="20"/>
        </w:rPr>
        <w:t>, пр-т Черняховского 5-37;</w:t>
      </w:r>
    </w:p>
    <w:p w:rsidR="00FC4FA9" w:rsidRDefault="00FC4FA9" w:rsidP="00FC4FA9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тел/факс:(0212)622000, тел:(0212) 633000;</w:t>
      </w:r>
    </w:p>
    <w:p w:rsidR="00FC4FA9" w:rsidRDefault="00FC4FA9" w:rsidP="00FC4FA9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МТС(029) 5106921  (029) 214 00 00</w:t>
      </w:r>
    </w:p>
    <w:p w:rsidR="00FC4FA9" w:rsidRDefault="00531CBD" w:rsidP="00FC4FA9">
      <w:pPr>
        <w:spacing w:after="0"/>
        <w:jc w:val="right"/>
        <w:rPr>
          <w:rFonts w:ascii="Arial" w:hAnsi="Arial"/>
          <w:sz w:val="20"/>
          <w:szCs w:val="20"/>
        </w:rPr>
      </w:pPr>
      <w:hyperlink r:id="rId6" w:history="1">
        <w:r w:rsidR="00FC4FA9"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 w:rsidR="00FC4FA9">
          <w:rPr>
            <w:rStyle w:val="a3"/>
            <w:rFonts w:ascii="Arial" w:hAnsi="Arial"/>
            <w:sz w:val="20"/>
            <w:szCs w:val="20"/>
          </w:rPr>
          <w:t>.</w:t>
        </w:r>
        <w:proofErr w:type="spellStart"/>
        <w:r w:rsidR="00FC4FA9">
          <w:rPr>
            <w:rStyle w:val="a3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FC4FA9">
          <w:rPr>
            <w:rStyle w:val="a3"/>
            <w:rFonts w:ascii="Arial" w:hAnsi="Arial"/>
            <w:sz w:val="20"/>
            <w:szCs w:val="20"/>
          </w:rPr>
          <w:t>.</w:t>
        </w:r>
        <w:r w:rsidR="00FC4FA9">
          <w:rPr>
            <w:rStyle w:val="a3"/>
            <w:rFonts w:ascii="Arial" w:hAnsi="Arial"/>
            <w:sz w:val="20"/>
            <w:szCs w:val="20"/>
            <w:lang w:val="en-US"/>
          </w:rPr>
          <w:t>by</w:t>
        </w:r>
      </w:hyperlink>
      <w:r w:rsidR="00FC4FA9">
        <w:rPr>
          <w:rFonts w:ascii="Arial" w:hAnsi="Arial"/>
          <w:sz w:val="20"/>
          <w:szCs w:val="20"/>
        </w:rPr>
        <w:t xml:space="preserve"> : </w:t>
      </w:r>
    </w:p>
    <w:p w:rsidR="00FC4FA9" w:rsidRDefault="00FC4FA9" w:rsidP="00FC4FA9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971"/>
      </w:tblGrid>
      <w:tr w:rsidR="00922029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FC4FA9" w:rsidRDefault="00FC4FA9" w:rsidP="00FC4FA9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7648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1598"/>
        <w:gridCol w:w="1347"/>
        <w:gridCol w:w="1598"/>
        <w:gridCol w:w="1573"/>
      </w:tblGrid>
      <w:tr w:rsidR="00FC4FA9" w:rsidTr="00FC4FA9">
        <w:trPr>
          <w:trHeight w:val="311"/>
          <w:tblCellSpacing w:w="15" w:type="dxa"/>
        </w:trPr>
        <w:tc>
          <w:tcPr>
            <w:tcW w:w="1487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FC4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FC4FA9" w:rsidRDefault="00FC4FA9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071" w:type="dxa"/>
            <w:gridSpan w:val="4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4FA9" w:rsidRPr="007C20F8" w:rsidRDefault="00FC4F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</w:pPr>
            <w:r w:rsidRPr="007C20F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Вилла «ТЕОДОРА»</w:t>
            </w:r>
          </w:p>
        </w:tc>
      </w:tr>
      <w:tr w:rsidR="00FC4FA9" w:rsidTr="00FC4FA9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FC4FA9" w:rsidRDefault="00FC4F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FC4FA9" w:rsidP="00FC4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</w:p>
          <w:p w:rsidR="00FC4FA9" w:rsidRDefault="00FC4FA9" w:rsidP="00FC4F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FC4FA9" w:rsidP="00FC4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</w:p>
          <w:p w:rsidR="00FC4FA9" w:rsidRDefault="00FC4FA9" w:rsidP="00FC4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FC4FA9" w:rsidP="00FC4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Ребенок на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месте до 16 лет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FC4FA9" w:rsidP="00FC4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без места до 12 лет</w:t>
            </w:r>
          </w:p>
        </w:tc>
      </w:tr>
      <w:tr w:rsidR="00FC4FA9" w:rsidTr="00FC4FA9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13.06-28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FA9" w:rsidTr="00FC4FA9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 w:rsidP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FA9" w:rsidTr="00FC4FA9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FA9" w:rsidTr="00FC4FA9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FA9" w:rsidTr="00FC4FA9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FA9" w:rsidTr="00FC4FA9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FA9" w:rsidTr="00FC4FA9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FA9" w:rsidTr="00FC4FA9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FA9" w:rsidRDefault="009220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C4FA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6935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4FA9" w:rsidRDefault="00757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FC4FA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4FA9" w:rsidRDefault="00FC4FA9" w:rsidP="00FC4F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4FA9" w:rsidRDefault="00FC4FA9" w:rsidP="00FC4F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FC4FA9" w:rsidRDefault="00FC4FA9" w:rsidP="00FC4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="0075787C">
        <w:rPr>
          <w:rFonts w:ascii="Arial" w:eastAsia="Times New Roman" w:hAnsi="Arial" w:cs="Arial"/>
          <w:sz w:val="20"/>
          <w:szCs w:val="20"/>
          <w:lang w:eastAsia="ru-RU"/>
        </w:rPr>
        <w:t>проезд автобусом Брест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</w:t>
      </w:r>
      <w:r w:rsidR="0075787C">
        <w:rPr>
          <w:rFonts w:ascii="Arial" w:eastAsia="Times New Roman" w:hAnsi="Arial" w:cs="Arial"/>
          <w:sz w:val="20"/>
          <w:szCs w:val="20"/>
          <w:lang w:eastAsia="ru-RU"/>
        </w:rPr>
        <w:t xml:space="preserve"> Брест</w:t>
      </w:r>
      <w:r>
        <w:rPr>
          <w:rFonts w:ascii="Arial" w:eastAsia="Times New Roman" w:hAnsi="Arial" w:cs="Arial"/>
          <w:sz w:val="20"/>
          <w:szCs w:val="20"/>
          <w:lang w:eastAsia="ru-RU"/>
        </w:rPr>
        <w:t>, сопровождение, проживание 11 ночей/12 дней</w:t>
      </w:r>
    </w:p>
    <w:p w:rsidR="00FC4FA9" w:rsidRDefault="00FC4FA9" w:rsidP="00FC4F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FC4FA9" w:rsidRDefault="00FC4FA9" w:rsidP="00FC4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>.,</w:t>
      </w:r>
      <w:r w:rsidR="0075787C">
        <w:rPr>
          <w:rFonts w:ascii="Arial" w:eastAsia="Times New Roman" w:hAnsi="Arial" w:cs="Arial"/>
          <w:sz w:val="20"/>
          <w:szCs w:val="20"/>
          <w:lang w:eastAsia="ru-RU"/>
        </w:rPr>
        <w:t xml:space="preserve"> ж/д билеты до Бреста,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FC4FA9" w:rsidRDefault="00FC4FA9" w:rsidP="00FC4FA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C4FA9" w:rsidRDefault="00FC4FA9" w:rsidP="00FC4FA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C4FA9" w:rsidRDefault="00FC4FA9" w:rsidP="00FC4FA9">
      <w:pPr>
        <w:spacing w:after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Вилла «ТЕОДОРА»  </w:t>
      </w:r>
      <w:r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>
        <w:rPr>
          <w:rFonts w:ascii="Arial" w:hAnsi="Arial" w:cs="Arial"/>
          <w:sz w:val="20"/>
          <w:szCs w:val="20"/>
        </w:rPr>
        <w:t xml:space="preserve"> </w:t>
      </w:r>
      <w:r w:rsidR="00C07D4E" w:rsidRPr="00C07D4E">
        <w:rPr>
          <w:rFonts w:ascii="Arial" w:hAnsi="Arial" w:cs="Arial"/>
          <w:sz w:val="20"/>
          <w:szCs w:val="20"/>
        </w:rPr>
        <w:t xml:space="preserve">расположена примерно в 200 метрах от озера </w:t>
      </w:r>
      <w:proofErr w:type="spellStart"/>
      <w:r w:rsidR="00C07D4E" w:rsidRPr="00C07D4E">
        <w:rPr>
          <w:rFonts w:ascii="Arial" w:hAnsi="Arial" w:cs="Arial"/>
          <w:sz w:val="20"/>
          <w:szCs w:val="20"/>
        </w:rPr>
        <w:t>Текиргиол</w:t>
      </w:r>
      <w:proofErr w:type="spellEnd"/>
      <w:r w:rsidR="00C07D4E" w:rsidRPr="00C07D4E">
        <w:rPr>
          <w:rFonts w:ascii="Arial" w:hAnsi="Arial" w:cs="Arial"/>
          <w:sz w:val="20"/>
          <w:szCs w:val="20"/>
        </w:rPr>
        <w:t>, и в 200 м от пляжа. Есть гостиная и небольшая кухня для приготовления кофе, чая или легких закусок. На заднем дворе за домом находятся гриль, столы и стулья.</w:t>
      </w:r>
    </w:p>
    <w:p w:rsidR="00FC4FA9" w:rsidRDefault="00FC4FA9" w:rsidP="00C07D4E">
      <w:pPr>
        <w:spacing w:after="0"/>
        <w:outlineLvl w:val="1"/>
        <w:rPr>
          <w:rFonts w:ascii="Arial" w:eastAsia="Times New Roman" w:hAnsi="Arial"/>
          <w:b/>
          <w:i/>
          <w:sz w:val="16"/>
          <w:szCs w:val="16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C07D4E" w:rsidRPr="00C07D4E">
        <w:rPr>
          <w:rFonts w:ascii="Arial" w:hAnsi="Arial" w:cs="Arial"/>
          <w:sz w:val="20"/>
          <w:szCs w:val="20"/>
        </w:rPr>
        <w:t>располагает номерами, каждый из которых оборудован кондиционером, двуспальной кроватью, ванной комнатой, телевизором, холодильником, балконом со столом и стульями, беспроводным доступом в Интернет.</w:t>
      </w:r>
    </w:p>
    <w:p w:rsidR="00FC4FA9" w:rsidRDefault="00FC4FA9" w:rsidP="00FC4FA9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FC4FA9" w:rsidRDefault="00FC4FA9" w:rsidP="00FC4FA9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FC4FA9" w:rsidRDefault="00FC4FA9" w:rsidP="00922029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FC4FA9" w:rsidRDefault="00FC4FA9" w:rsidP="00922029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AD6994" w:rsidRDefault="00FC4FA9" w:rsidP="00922029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>
        <w:rPr>
          <w:rFonts w:ascii="Arial" w:eastAsia="Times New Roman" w:hAnsi="Arial"/>
          <w:i/>
          <w:sz w:val="16"/>
          <w:szCs w:val="16"/>
        </w:rPr>
        <w:t>на</w:t>
      </w:r>
      <w:proofErr w:type="gramEnd"/>
      <w:r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</w:t>
      </w:r>
    </w:p>
    <w:p w:rsidR="00AD6994" w:rsidRDefault="00AD6994" w:rsidP="00922029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</w:p>
    <w:p w:rsidR="00AD6994" w:rsidRDefault="00AD6994" w:rsidP="00AD6994">
      <w:pPr>
        <w:tabs>
          <w:tab w:val="left" w:pos="3296"/>
        </w:tabs>
        <w:spacing w:after="0"/>
        <w:jc w:val="right"/>
        <w:rPr>
          <w:rFonts w:ascii="Arial" w:hAnsi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892CD0" wp14:editId="178911AA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  <w:sz w:val="20"/>
          <w:szCs w:val="20"/>
        </w:rPr>
        <w:t>г</w:t>
      </w:r>
      <w:proofErr w:type="gramStart"/>
      <w:r>
        <w:rPr>
          <w:rFonts w:ascii="Arial" w:hAnsi="Arial"/>
          <w:sz w:val="20"/>
          <w:szCs w:val="20"/>
        </w:rPr>
        <w:t>.В</w:t>
      </w:r>
      <w:proofErr w:type="gramEnd"/>
      <w:r>
        <w:rPr>
          <w:rFonts w:ascii="Arial" w:hAnsi="Arial"/>
          <w:sz w:val="20"/>
          <w:szCs w:val="20"/>
        </w:rPr>
        <w:t>итебск</w:t>
      </w:r>
      <w:proofErr w:type="spellEnd"/>
      <w:r>
        <w:rPr>
          <w:rFonts w:ascii="Arial" w:hAnsi="Arial"/>
          <w:sz w:val="20"/>
          <w:szCs w:val="20"/>
        </w:rPr>
        <w:t>, пр-т Черняховского 5-37;</w:t>
      </w:r>
    </w:p>
    <w:p w:rsidR="00AD6994" w:rsidRDefault="00AD6994" w:rsidP="00AD6994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тел/факс:(0212)622000, тел:(0212) 633000;</w:t>
      </w:r>
    </w:p>
    <w:p w:rsidR="00AD6994" w:rsidRDefault="00AD6994" w:rsidP="00AD6994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МТС(029) 5106921  (029) 214 00 00</w:t>
      </w:r>
    </w:p>
    <w:p w:rsidR="00AD6994" w:rsidRDefault="00531CBD" w:rsidP="00AD6994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AD6994"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 w:rsidR="00AD6994">
          <w:rPr>
            <w:rStyle w:val="a3"/>
            <w:rFonts w:ascii="Arial" w:hAnsi="Arial"/>
            <w:sz w:val="20"/>
            <w:szCs w:val="20"/>
          </w:rPr>
          <w:t>.</w:t>
        </w:r>
        <w:proofErr w:type="spellStart"/>
        <w:r w:rsidR="00AD6994">
          <w:rPr>
            <w:rStyle w:val="a3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AD6994">
          <w:rPr>
            <w:rStyle w:val="a3"/>
            <w:rFonts w:ascii="Arial" w:hAnsi="Arial"/>
            <w:sz w:val="20"/>
            <w:szCs w:val="20"/>
          </w:rPr>
          <w:t>.</w:t>
        </w:r>
        <w:r w:rsidR="00AD6994">
          <w:rPr>
            <w:rStyle w:val="a3"/>
            <w:rFonts w:ascii="Arial" w:hAnsi="Arial"/>
            <w:sz w:val="20"/>
            <w:szCs w:val="20"/>
            <w:lang w:val="en-US"/>
          </w:rPr>
          <w:t>by</w:t>
        </w:r>
      </w:hyperlink>
      <w:r w:rsidR="00AD6994">
        <w:rPr>
          <w:rFonts w:ascii="Arial" w:hAnsi="Arial"/>
          <w:sz w:val="20"/>
          <w:szCs w:val="20"/>
        </w:rPr>
        <w:t xml:space="preserve"> : </w:t>
      </w:r>
    </w:p>
    <w:p w:rsidR="00AD6994" w:rsidRDefault="00AD6994" w:rsidP="006935D3">
      <w:pPr>
        <w:spacing w:after="0" w:line="240" w:lineRule="auto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971"/>
      </w:tblGrid>
      <w:tr w:rsidR="00922029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922029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22029" w:rsidRPr="00534523" w:rsidRDefault="00922029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029" w:rsidRPr="00534523" w:rsidRDefault="00922029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AD6994" w:rsidRDefault="00AD6994" w:rsidP="00AD6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6994" w:rsidRDefault="00AD6994" w:rsidP="00AD6994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7648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1598"/>
        <w:gridCol w:w="1347"/>
        <w:gridCol w:w="1598"/>
        <w:gridCol w:w="1573"/>
      </w:tblGrid>
      <w:tr w:rsidR="00531CBD" w:rsidTr="003F3A94">
        <w:trPr>
          <w:trHeight w:val="311"/>
          <w:tblCellSpacing w:w="15" w:type="dxa"/>
        </w:trPr>
        <w:tc>
          <w:tcPr>
            <w:tcW w:w="1487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531CBD" w:rsidRDefault="00531CBD" w:rsidP="003F3A9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071" w:type="dxa"/>
            <w:gridSpan w:val="4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CBD" w:rsidRPr="007C20F8" w:rsidRDefault="00531CBD" w:rsidP="003F3A9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</w:pPr>
            <w:r w:rsidRPr="007C20F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Вилла «ТЕОДОРА»</w:t>
            </w:r>
          </w:p>
        </w:tc>
      </w:tr>
      <w:tr w:rsidR="00531CBD" w:rsidTr="003F3A94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531CBD" w:rsidRDefault="00531CBD" w:rsidP="003F3A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</w:p>
          <w:p w:rsidR="00531CBD" w:rsidRDefault="00531CBD" w:rsidP="003F3A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</w:p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Ребенок на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месте до 16 лет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Ребенок без места до 12 лет</w:t>
            </w:r>
          </w:p>
        </w:tc>
      </w:tr>
      <w:tr w:rsidR="00531CBD" w:rsidTr="003F3A94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13.06-28.06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1CBD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24.06-09.07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1CBD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05.07-20.07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1CBD" w:rsidTr="003F3A94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16.07-31.07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1CBD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27.07-11.08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1CBD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07.08-22.08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1CBD" w:rsidTr="003F3A94">
        <w:trPr>
          <w:trHeight w:val="281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18.08-02.09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31CBD" w:rsidTr="003F3A94">
        <w:trPr>
          <w:trHeight w:val="267"/>
          <w:tblCellSpacing w:w="15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29.08-13.09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CBD" w:rsidRDefault="00531CBD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AD6994" w:rsidRDefault="00AD6994" w:rsidP="00AD69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AD6994" w:rsidRDefault="00AD6994" w:rsidP="00AD69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AD6994" w:rsidRDefault="00AD6994" w:rsidP="00AD6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</w:t>
      </w:r>
      <w:r w:rsidR="0075787C">
        <w:rPr>
          <w:rFonts w:ascii="Arial" w:eastAsia="Times New Roman" w:hAnsi="Arial" w:cs="Arial"/>
          <w:sz w:val="20"/>
          <w:szCs w:val="20"/>
          <w:lang w:eastAsia="ru-RU"/>
        </w:rPr>
        <w:t>Брест — курорты Румынии -  Брест</w:t>
      </w:r>
      <w:r>
        <w:rPr>
          <w:rFonts w:ascii="Arial" w:eastAsia="Times New Roman" w:hAnsi="Arial" w:cs="Arial"/>
          <w:sz w:val="20"/>
          <w:szCs w:val="20"/>
          <w:lang w:eastAsia="ru-RU"/>
        </w:rPr>
        <w:t>, сопровождение, проживание 11 ночей/12 дней</w:t>
      </w:r>
    </w:p>
    <w:p w:rsidR="00AD6994" w:rsidRDefault="00AD6994" w:rsidP="00AD69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75787C" w:rsidRDefault="00AD6994" w:rsidP="007578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75787C"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 w:rsidR="0075787C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="0075787C"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 w:rsidR="0075787C"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 w:rsidR="0075787C"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 w:rsidR="0075787C"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 w:rsidR="0075787C"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 w:rsidR="0075787C"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 w:rsidR="0075787C"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AD6994" w:rsidRDefault="00AD6994" w:rsidP="00AD6994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994" w:rsidRDefault="00AD6994" w:rsidP="00AD6994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994" w:rsidRDefault="00AD6994" w:rsidP="00AD6994">
      <w:pPr>
        <w:spacing w:after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Вилла «ТЕОДОРА»  </w:t>
      </w:r>
      <w:r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>
        <w:rPr>
          <w:rFonts w:ascii="Arial" w:hAnsi="Arial" w:cs="Arial"/>
          <w:sz w:val="20"/>
          <w:szCs w:val="20"/>
        </w:rPr>
        <w:t xml:space="preserve"> </w:t>
      </w:r>
      <w:r w:rsidR="00C07D4E" w:rsidRPr="00C07D4E">
        <w:rPr>
          <w:rFonts w:ascii="Arial" w:hAnsi="Arial" w:cs="Arial"/>
          <w:sz w:val="20"/>
          <w:szCs w:val="20"/>
        </w:rPr>
        <w:t xml:space="preserve">расположена примерно в 200 метрах от озера </w:t>
      </w:r>
      <w:proofErr w:type="spellStart"/>
      <w:r w:rsidR="00C07D4E" w:rsidRPr="00C07D4E">
        <w:rPr>
          <w:rFonts w:ascii="Arial" w:hAnsi="Arial" w:cs="Arial"/>
          <w:sz w:val="20"/>
          <w:szCs w:val="20"/>
        </w:rPr>
        <w:t>Текиргиол</w:t>
      </w:r>
      <w:proofErr w:type="spellEnd"/>
      <w:r w:rsidR="00C07D4E" w:rsidRPr="00C07D4E">
        <w:rPr>
          <w:rFonts w:ascii="Arial" w:hAnsi="Arial" w:cs="Arial"/>
          <w:sz w:val="20"/>
          <w:szCs w:val="20"/>
        </w:rPr>
        <w:t>, и в 200 м от пляжа. Есть гостиная и небольшая кухня для приготовления кофе, чая или легких закусок. На заднем дворе за домом находятся гриль, столы и стулья.</w:t>
      </w:r>
    </w:p>
    <w:p w:rsidR="00AD6994" w:rsidRPr="00C07D4E" w:rsidRDefault="00AD6994" w:rsidP="00AD6994">
      <w:pPr>
        <w:spacing w:after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C07D4E" w:rsidRPr="00C07D4E">
        <w:rPr>
          <w:rFonts w:ascii="Arial" w:hAnsi="Arial" w:cs="Arial"/>
          <w:sz w:val="20"/>
          <w:szCs w:val="20"/>
        </w:rPr>
        <w:t>располагает номерами, каждый из которых оборудован кондиционером, двуспальной кроватью, ванной комнатой, телевизором, холодильником, балконом со столом и стульями, беспроводным доступом в Интернет.</w:t>
      </w:r>
    </w:p>
    <w:p w:rsidR="00AD6994" w:rsidRDefault="00AD6994" w:rsidP="00AD6994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AD6994" w:rsidRDefault="00AD6994" w:rsidP="00AD6994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AD6994" w:rsidRDefault="00AD6994" w:rsidP="00922029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A2B77" w:rsidRPr="00FC4FA9" w:rsidRDefault="00AD6994" w:rsidP="00922029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>
        <w:rPr>
          <w:rFonts w:ascii="Arial" w:eastAsia="Times New Roman" w:hAnsi="Arial"/>
          <w:i/>
          <w:sz w:val="16"/>
          <w:szCs w:val="16"/>
        </w:rPr>
        <w:t>на</w:t>
      </w:r>
      <w:proofErr w:type="gramEnd"/>
      <w:r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</w:t>
      </w:r>
    </w:p>
    <w:sectPr w:rsidR="004A2B77" w:rsidRPr="00FC4FA9" w:rsidSect="00AD6994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9"/>
    <w:rsid w:val="00531CBD"/>
    <w:rsid w:val="006935D3"/>
    <w:rsid w:val="0075787C"/>
    <w:rsid w:val="007C20F8"/>
    <w:rsid w:val="008738F8"/>
    <w:rsid w:val="00922029"/>
    <w:rsid w:val="00AD6994"/>
    <w:rsid w:val="00C07D4E"/>
    <w:rsid w:val="00DD07A8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va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val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Каонийчук Наталья</dc:creator>
  <cp:lastModifiedBy>Каонийчук Наталья</cp:lastModifiedBy>
  <cp:revision>9</cp:revision>
  <cp:lastPrinted>2019-01-04T09:37:00Z</cp:lastPrinted>
  <dcterms:created xsi:type="dcterms:W3CDTF">2018-12-19T08:00:00Z</dcterms:created>
  <dcterms:modified xsi:type="dcterms:W3CDTF">2019-02-06T10:01:00Z</dcterms:modified>
</cp:coreProperties>
</file>